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66"/>
        <w:tblW w:w="9405" w:type="dxa"/>
        <w:tblLayout w:type="fixed"/>
        <w:tblLook w:val="04A0" w:firstRow="1" w:lastRow="0" w:firstColumn="1" w:lastColumn="0" w:noHBand="0" w:noVBand="1"/>
      </w:tblPr>
      <w:tblGrid>
        <w:gridCol w:w="4957"/>
        <w:gridCol w:w="4448"/>
      </w:tblGrid>
      <w:tr w:rsidR="007F085E" w:rsidTr="0077084D">
        <w:trPr>
          <w:trHeight w:val="407"/>
        </w:trPr>
        <w:tc>
          <w:tcPr>
            <w:tcW w:w="4957" w:type="dxa"/>
            <w:vAlign w:val="center"/>
            <w:hideMark/>
          </w:tcPr>
          <w:p w:rsidR="007F085E" w:rsidRDefault="007F085E" w:rsidP="005E010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BASIN BÜLTENİ  </w:t>
            </w:r>
          </w:p>
          <w:p w:rsidR="007F085E" w:rsidRDefault="007F085E" w:rsidP="005E010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ab/>
            </w:r>
          </w:p>
        </w:tc>
        <w:tc>
          <w:tcPr>
            <w:tcW w:w="4448" w:type="dxa"/>
            <w:vAlign w:val="bottom"/>
            <w:hideMark/>
          </w:tcPr>
          <w:p w:rsidR="007F085E" w:rsidRDefault="007F085E" w:rsidP="005E010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</w:t>
            </w:r>
            <w:r>
              <w:rPr>
                <w:rFonts w:ascii="Verdana" w:hAnsi="Verdana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6DF8B0D" wp14:editId="48E61AA2">
                  <wp:extent cx="733425" cy="30480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85E" w:rsidTr="0077084D">
        <w:trPr>
          <w:trHeight w:val="89"/>
        </w:trPr>
        <w:tc>
          <w:tcPr>
            <w:tcW w:w="4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F085E" w:rsidRDefault="007F085E" w:rsidP="005E010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F085E" w:rsidRDefault="007F085E" w:rsidP="005E010F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shd w:val="clear" w:color="auto" w:fill="FFFF00"/>
              </w:rPr>
            </w:pPr>
          </w:p>
        </w:tc>
      </w:tr>
    </w:tbl>
    <w:p w:rsidR="006F2484" w:rsidRDefault="006F2484" w:rsidP="006F2484">
      <w:pPr>
        <w:suppressAutoHyphens w:val="0"/>
        <w:spacing w:after="0" w:line="240" w:lineRule="auto"/>
        <w:jc w:val="center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İnternet fırtınaydı,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Blockchain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kasırga</w:t>
      </w:r>
    </w:p>
    <w:p w:rsidR="006F2484" w:rsidRDefault="006F2484" w:rsidP="00585FE7">
      <w:pPr>
        <w:suppressAutoHyphens w:val="0"/>
        <w:spacing w:after="0" w:line="240" w:lineRule="auto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</w:p>
    <w:p w:rsidR="006F2484" w:rsidRPr="00A64761" w:rsidRDefault="00274664" w:rsidP="006F2484">
      <w:pPr>
        <w:suppressAutoHyphens w:val="0"/>
        <w:spacing w:after="0" w:line="240" w:lineRule="auto"/>
        <w:jc w:val="center"/>
        <w:rPr>
          <w:rFonts w:ascii="Verdana" w:eastAsia="Calibri" w:hAnsi="Verdana" w:cs="Times New Roman"/>
          <w:b/>
          <w:bCs/>
          <w:iCs/>
          <w:kern w:val="0"/>
          <w:sz w:val="40"/>
          <w:szCs w:val="40"/>
          <w:lang w:eastAsia="tr-TR"/>
        </w:rPr>
      </w:pPr>
      <w:r w:rsidRPr="00A64761">
        <w:rPr>
          <w:rFonts w:ascii="Verdana" w:eastAsia="Calibri" w:hAnsi="Verdana" w:cs="Times New Roman"/>
          <w:b/>
          <w:bCs/>
          <w:iCs/>
          <w:kern w:val="0"/>
          <w:sz w:val="40"/>
          <w:szCs w:val="40"/>
          <w:lang w:eastAsia="tr-TR"/>
        </w:rPr>
        <w:t>Kripto para piyasa hacmi</w:t>
      </w:r>
      <w:r w:rsidR="006F2484" w:rsidRPr="00A64761">
        <w:rPr>
          <w:rFonts w:ascii="Verdana" w:eastAsia="Calibri" w:hAnsi="Verdana" w:cs="Times New Roman"/>
          <w:b/>
          <w:bCs/>
          <w:iCs/>
          <w:kern w:val="0"/>
          <w:sz w:val="40"/>
          <w:szCs w:val="40"/>
          <w:lang w:eastAsia="tr-TR"/>
        </w:rPr>
        <w:t xml:space="preserve"> sene sonunda 1 trilyon doları aşacak</w:t>
      </w:r>
    </w:p>
    <w:p w:rsidR="006F2484" w:rsidRPr="006F2484" w:rsidRDefault="006F2484" w:rsidP="006F2484">
      <w:pPr>
        <w:suppressAutoHyphens w:val="0"/>
        <w:spacing w:after="0" w:line="240" w:lineRule="auto"/>
        <w:jc w:val="center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</w:p>
    <w:p w:rsidR="003453DD" w:rsidRPr="003453DD" w:rsidRDefault="003453DD" w:rsidP="003453DD">
      <w:pPr>
        <w:suppressAutoHyphens w:val="0"/>
        <w:spacing w:after="0" w:line="240" w:lineRule="auto"/>
        <w:jc w:val="center"/>
        <w:rPr>
          <w:rFonts w:eastAsia="Calibri" w:cs="Times New Roman"/>
          <w:kern w:val="0"/>
          <w:sz w:val="24"/>
          <w:szCs w:val="24"/>
          <w:lang w:eastAsia="tr-TR"/>
        </w:rPr>
      </w:pPr>
    </w:p>
    <w:p w:rsidR="003453DD" w:rsidRPr="006F2484" w:rsidRDefault="006F2484" w:rsidP="006F2484">
      <w:pPr>
        <w:suppressAutoHyphens w:val="0"/>
        <w:spacing w:after="0" w:line="240" w:lineRule="auto"/>
        <w:jc w:val="center"/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</w:pPr>
      <w:r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Geçtiğimiz aylarda 800 milyar dolarlık hacme ulaşan </w:t>
      </w:r>
      <w:proofErr w:type="gramStart"/>
      <w:r w:rsidR="0027466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kripto</w:t>
      </w:r>
      <w:proofErr w:type="gramEnd"/>
      <w:r w:rsidR="00A64761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para hacmi</w:t>
      </w:r>
      <w:r w:rsidR="0027466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</w:t>
      </w:r>
      <w:r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manipülasyonların etkisiyle </w:t>
      </w:r>
      <w:r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bugün 440 milyar dolar seviyelerinde.</w:t>
      </w:r>
      <w:r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</w:t>
      </w:r>
      <w:r w:rsidR="0027466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Pazara</w:t>
      </w:r>
      <w:r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şüpheli yaklaşan büyük yatırımcıların </w:t>
      </w:r>
      <w:r w:rsidRPr="008E7303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p</w:t>
      </w:r>
      <w:r w:rsidR="008E7303" w:rsidRPr="008E7303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iyasaya </w:t>
      </w:r>
      <w:r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kademeli girişi</w:t>
      </w:r>
      <w:r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yle bu pazarın 2018 sonunda</w:t>
      </w:r>
      <w:r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1 trilyon doları aşması </w:t>
      </w:r>
      <w:r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öngörü</w:t>
      </w:r>
      <w:r w:rsidR="00FC7735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lü</w:t>
      </w:r>
      <w:r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yor.</w:t>
      </w:r>
    </w:p>
    <w:p w:rsidR="003453DD" w:rsidRPr="003453DD" w:rsidRDefault="003453DD" w:rsidP="003453DD">
      <w:pPr>
        <w:suppressAutoHyphens w:val="0"/>
        <w:spacing w:after="0" w:line="240" w:lineRule="auto"/>
        <w:jc w:val="center"/>
        <w:rPr>
          <w:rFonts w:eastAsia="Calibri" w:cs="Times New Roman"/>
          <w:b/>
          <w:kern w:val="0"/>
          <w:sz w:val="24"/>
          <w:szCs w:val="24"/>
          <w:lang w:eastAsia="tr-TR"/>
        </w:rPr>
      </w:pPr>
      <w:r w:rsidRPr="003453DD">
        <w:rPr>
          <w:rFonts w:ascii="Verdana" w:eastAsia="Calibri" w:hAnsi="Verdana" w:cs="Times New Roman"/>
          <w:b/>
          <w:bCs/>
          <w:kern w:val="0"/>
          <w:sz w:val="20"/>
          <w:szCs w:val="20"/>
          <w:lang w:eastAsia="tr-TR"/>
        </w:rPr>
        <w:t> </w:t>
      </w:r>
    </w:p>
    <w:p w:rsidR="003453DD" w:rsidRDefault="006F2484" w:rsidP="004B3943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u w:val="single"/>
          <w:lang w:eastAsia="tr-TR"/>
        </w:rPr>
      </w:pPr>
      <w:r>
        <w:rPr>
          <w:rFonts w:ascii="Verdana" w:eastAsia="Calibri" w:hAnsi="Verdana" w:cs="Times New Roman"/>
          <w:b/>
          <w:bCs/>
          <w:kern w:val="0"/>
          <w:sz w:val="20"/>
          <w:szCs w:val="20"/>
          <w:u w:val="single"/>
          <w:lang w:eastAsia="tr-TR"/>
        </w:rPr>
        <w:t>0</w:t>
      </w:r>
      <w:r w:rsidR="00AD74BA">
        <w:rPr>
          <w:rFonts w:ascii="Verdana" w:eastAsia="Calibri" w:hAnsi="Verdana" w:cs="Times New Roman"/>
          <w:b/>
          <w:bCs/>
          <w:kern w:val="0"/>
          <w:sz w:val="20"/>
          <w:szCs w:val="20"/>
          <w:u w:val="single"/>
          <w:lang w:eastAsia="tr-TR"/>
        </w:rPr>
        <w:t>2</w:t>
      </w:r>
      <w:r>
        <w:rPr>
          <w:rFonts w:ascii="Verdana" w:eastAsia="Calibri" w:hAnsi="Verdana" w:cs="Times New Roman"/>
          <w:b/>
          <w:bCs/>
          <w:kern w:val="0"/>
          <w:sz w:val="20"/>
          <w:szCs w:val="20"/>
          <w:u w:val="single"/>
          <w:lang w:eastAsia="tr-TR"/>
        </w:rPr>
        <w:t xml:space="preserve"> 05</w:t>
      </w:r>
      <w:r w:rsidR="003453DD" w:rsidRPr="003453DD">
        <w:rPr>
          <w:rFonts w:ascii="Verdana" w:eastAsia="Calibri" w:hAnsi="Verdana" w:cs="Times New Roman"/>
          <w:b/>
          <w:bCs/>
          <w:kern w:val="0"/>
          <w:sz w:val="20"/>
          <w:szCs w:val="20"/>
          <w:u w:val="single"/>
          <w:lang w:eastAsia="tr-TR"/>
        </w:rPr>
        <w:t xml:space="preserve"> 2018</w:t>
      </w:r>
    </w:p>
    <w:p w:rsidR="006F2484" w:rsidRDefault="006F2484" w:rsidP="004B3943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:u w:val="single"/>
          <w:lang w:eastAsia="tr-TR"/>
        </w:rPr>
      </w:pP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Blockchain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teknolojisi, adını dijital para birimi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Bitcoin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ile duyurdu. Bu teknolojinin sadece finans alanına yönelik bir teknoloji olduğu sanılsa da sağlık sektöründen, turizme, sigortacılıktan mali denetime, yapay </w:t>
      </w:r>
      <w:r w:rsidR="00FB142C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zekâ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pazarından geleneksel ve sosyal medya kullanımına kadar hayatımızın her alanında kullanılması bekleniyor.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Blockchain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devrimi, sadece IT sektörünü değil, neredeyse tüm iş alanlarını kapsayacak bir gelişim potansiyeli taşıyor.</w:t>
      </w: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</w:pPr>
    </w:p>
    <w:p w:rsidR="006F2484" w:rsidRPr="00C15358" w:rsidRDefault="00DC6BE7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</w:pPr>
      <w:r w:rsidRPr="00C15358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Kripto para hacmi </w:t>
      </w:r>
      <w:r w:rsidR="006F2484" w:rsidRPr="00C15358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800 milyar dolardan 440 milyar dolara</w:t>
      </w:r>
      <w:r w:rsidR="00133CA8" w:rsidRPr="00C15358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düştü</w:t>
      </w: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Geçtiğimiz aylarda 800 milyar dolarlık hacme ulaşan </w:t>
      </w:r>
      <w:proofErr w:type="gramStart"/>
      <w:r w:rsidR="00A64761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kripto</w:t>
      </w:r>
      <w:proofErr w:type="gramEnd"/>
      <w:r w:rsidR="00A64761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para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dünyası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nın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bugün 440</w:t>
      </w:r>
      <w:r w:rsidRPr="006F2484">
        <w:rPr>
          <w:rFonts w:ascii="Verdana" w:eastAsia="Calibri" w:hAnsi="Verdana" w:cs="Times New Roman"/>
          <w:bCs/>
          <w:iCs/>
          <w:color w:val="C00000"/>
          <w:kern w:val="0"/>
          <w:sz w:val="20"/>
          <w:szCs w:val="20"/>
          <w:lang w:eastAsia="tr-TR"/>
        </w:rPr>
        <w:t xml:space="preserve"> 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milyar dolar seviyelerinde olduğunu belirten </w:t>
      </w:r>
      <w:proofErr w:type="spellStart"/>
      <w:r w:rsidR="00FB142C" w:rsidRP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ucuracak.com</w:t>
      </w:r>
      <w:proofErr w:type="spellEnd"/>
      <w:r w:rsidR="00FB142C" w:rsidRP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CEO’su Fahri </w:t>
      </w:r>
      <w:proofErr w:type="spellStart"/>
      <w:r w:rsidR="00FB142C" w:rsidRP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Toğa</w:t>
      </w:r>
      <w:proofErr w:type="spellEnd"/>
      <w:r w:rsidR="00FB142C" w:rsidRP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,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“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Pazar</w:t>
      </w:r>
      <w:r w:rsidR="008E7303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,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tavsiyeye dayalı yatırım üzerinden yürüdüğü için çok 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fazla manipülasyon görülüyor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. Ancak son iki yıldan bu yana denkleme katılan güçlü projeler ve ortaya konulan net fayda ile şimdiye kadar </w:t>
      </w:r>
      <w:proofErr w:type="gramStart"/>
      <w:r w:rsidR="00217ADF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kripto</w:t>
      </w:r>
      <w:proofErr w:type="gram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pazarına şüpheli yaklaşan büyük yatırımcıların piyas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aya kademeli girişi bekleniyor. </w:t>
      </w:r>
      <w:r w:rsidR="00217ADF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Kripto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piyasa hacminin </w:t>
      </w:r>
      <w:r w:rsidR="00FC773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bu girişlerle 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2018 sonu itibar</w:t>
      </w:r>
      <w:r w:rsidR="00FC773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iyle 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1 trilyon dolar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ı aşması bekleniyor.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” dedi. </w:t>
      </w: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</w:p>
    <w:p w:rsidR="006F2484" w:rsidRPr="006F2484" w:rsidRDefault="00C15358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</w:pPr>
      <w:r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Telefonla 40 yılda, </w:t>
      </w:r>
      <w:bookmarkStart w:id="0" w:name="_GoBack"/>
      <w:bookmarkEnd w:id="0"/>
      <w:proofErr w:type="spellStart"/>
      <w:r w:rsidR="006F2484"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Blockchain</w:t>
      </w:r>
      <w:proofErr w:type="spellEnd"/>
      <w:r w:rsidR="006F2484"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</w:t>
      </w:r>
      <w:r w:rsidR="00FB142C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ile</w:t>
      </w:r>
      <w:r w:rsidR="006F2484" w:rsidRPr="006F2484"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 xml:space="preserve"> aylar içinde </w:t>
      </w: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</w:p>
    <w:p w:rsidR="006F2484" w:rsidRPr="00B14395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Telefon ve elektriğin 40 yıldan uzun bir süre, kredi kartlarının 28 yıl, internetin 7 yıl, Facebook,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Twitter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, Youtube gibi sosyal paylaşım platformlarının ise 3 seneden az bir süre zarfında 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50 milyon kullanıcıya ulaştığına dikkat çeken </w:t>
      </w:r>
      <w:proofErr w:type="spellStart"/>
      <w:r w:rsidR="00FB142C" w:rsidRP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Toğa</w:t>
      </w:r>
      <w:proofErr w:type="spellEnd"/>
      <w:r w:rsidR="00FB142C" w:rsidRP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, </w:t>
      </w:r>
      <w:proofErr w:type="spellStart"/>
      <w:r w:rsidR="00B14395" w:rsidRPr="00B1439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Blockchain’in</w:t>
      </w:r>
      <w:proofErr w:type="spellEnd"/>
      <w:r w:rsidR="00B1439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getireceği</w:t>
      </w:r>
      <w:r w:rsidR="00B14395" w:rsidRPr="00B1439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217ADF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sürprizlere</w:t>
      </w:r>
      <w:r w:rsidR="00B1439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hazır olunması gerektiğinin altını çizdi: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“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u yeni </w:t>
      </w:r>
      <w:r w:rsid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teknolojiyi aylar içinde milyonlarca kişi kullanmaya başladı. Dolayısıyla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Blockchain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teknolojisinin günlük hayatta kullanılmasıyla birlikte interne</w:t>
      </w:r>
      <w:r w:rsidR="00E870C9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tin </w:t>
      </w:r>
      <w:proofErr w:type="spellStart"/>
      <w:r w:rsidR="00E870C9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90’larda</w:t>
      </w:r>
      <w:proofErr w:type="spellEnd"/>
      <w:r w:rsidR="00E870C9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sağladığı etkiden 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daha</w:t>
      </w:r>
      <w:r w:rsidR="00E870C9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fazlasını özel ve iş hayatımızda </w:t>
      </w:r>
      <w:r w:rsidR="00E870C9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göreceğiz</w:t>
      </w:r>
      <w:r w:rsidR="00E870C9" w:rsidRPr="00E870C9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.</w:t>
      </w:r>
      <w:r w:rsidR="00E870C9">
        <w:rPr>
          <w:rFonts w:ascii="Verdana" w:eastAsia="Calibri" w:hAnsi="Verdana" w:cs="Times New Roman"/>
          <w:bCs/>
          <w:iCs/>
          <w:color w:val="FF0000"/>
          <w:kern w:val="0"/>
          <w:sz w:val="20"/>
          <w:szCs w:val="20"/>
          <w:lang w:eastAsia="tr-TR"/>
        </w:rPr>
        <w:t xml:space="preserve">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ucuracak.com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ile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Bitcoin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,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Ethereum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ve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Ripple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dijital paralarla uçak bileti satışına başlamıştık. Şimdi ise dijit</w:t>
      </w:r>
      <w:r w:rsidR="00DC6B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al paralarla konaklama hizmeti</w:t>
      </w: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sunmaya hazırlanıyoruz. Ayrıca ödeme teknolojisi altyapımızı akıllı kontratlar ve otomasyon sistemleriyle optimize ederek daha kolay ve hızlı hale getirmek için teknik altyapı çalışmalarımızı tamamlamak üzereyiz.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1990’ların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başındaki internet devriminden çok daha büyük bir devrim ile karşı karşıyayız. İnternet fırtına ise </w:t>
      </w:r>
      <w:proofErr w:type="spellStart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Blockchain’i</w:t>
      </w:r>
      <w:proofErr w:type="spellEnd"/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kasırga olarak tanımlamak gerekir.” </w:t>
      </w: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</w:p>
    <w:p w:rsidR="006F2484" w:rsidRPr="006F2484" w:rsidRDefault="00133CA8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</w:pPr>
      <w:r>
        <w:rPr>
          <w:rFonts w:ascii="Verdana" w:eastAsia="Calibri" w:hAnsi="Verdana" w:cs="Times New Roman"/>
          <w:b/>
          <w:bCs/>
          <w:iCs/>
          <w:kern w:val="0"/>
          <w:sz w:val="20"/>
          <w:szCs w:val="20"/>
          <w:lang w:eastAsia="tr-TR"/>
        </w:rPr>
        <w:t>ATM’ler kurulduğunda bankacıların işsiz kalacağı düşünülmüştü</w:t>
      </w:r>
    </w:p>
    <w:p w:rsidR="006F2484" w:rsidRPr="006F2484" w:rsidRDefault="006F2484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</w:p>
    <w:p w:rsidR="006F2484" w:rsidRPr="006F2484" w:rsidRDefault="00FB142C" w:rsidP="006F2484">
      <w:pPr>
        <w:suppressAutoHyphens w:val="0"/>
        <w:spacing w:after="0" w:line="240" w:lineRule="auto"/>
        <w:jc w:val="both"/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</w:pPr>
      <w:r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Mutabakat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ve güvenlik bakımından 3. şahıs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ları ortadan kaldırma potansiyeline sahip </w:t>
      </w:r>
      <w:proofErr w:type="spellStart"/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Blockchain</w:t>
      </w:r>
      <w:proofErr w:type="spellEnd"/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te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knolojisine mesafeli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bakmak yerine, 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bu teknoloji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nin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açacağı 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kapılar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a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odaklanılması gerektiğini vurgulayan </w:t>
      </w:r>
      <w:proofErr w:type="spellStart"/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Toğa</w:t>
      </w:r>
      <w:proofErr w:type="spellEnd"/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,</w:t>
      </w:r>
      <w:r w:rsidR="00B1439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sözlerine şöyle devam etti.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“</w:t>
      </w:r>
      <w:r w:rsidR="00D745C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Yeni girişimlerden sonra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İş</w:t>
      </w:r>
      <w:r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D745C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kaybetme</w:t>
      </w:r>
      <w:r w:rsidRPr="00FB142C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düşüncesi geçmişte de yaşandı. 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ATM'lerin çalışmaya baş</w:t>
      </w:r>
      <w:r w:rsidR="00133CA8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ladığı </w:t>
      </w:r>
      <w:proofErr w:type="spellStart"/>
      <w:r w:rsidR="00133CA8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1970’lerin</w:t>
      </w:r>
      <w:proofErr w:type="spellEnd"/>
      <w:r w:rsidR="00133CA8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Amerika'sında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bankacılar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ın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işsiz kalacak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ları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sanılırken,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bunun tam tersi oldu; 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her sene yüz</w:t>
      </w:r>
      <w:r w:rsidR="00547E46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binlerce bankacı işe alındı ve şube sayıla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rı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hızla 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arttı.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Para saymak gibi makinelerin daha iyi ve hızlı yapabileceği işlerin makinelere devredilmesiyle çalışan iş </w:t>
      </w:r>
      <w:r w:rsidR="006F2484" w:rsidRPr="006F2484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lastRenderedPageBreak/>
        <w:t>gücü; müşterilerle ilişkileri kuvvetlendirmek, olası problemleri çözmek gibi yeni ürünlerin, çözümler</w:t>
      </w:r>
      <w:r w:rsidR="00585FE7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in geliştirmesine katkı sağlayacak şekilde konu</w:t>
      </w:r>
      <w:r w:rsidR="00B14395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>mlandırılmalı.”</w:t>
      </w:r>
      <w:r w:rsidR="00AF14DE">
        <w:rPr>
          <w:rFonts w:ascii="Verdana" w:eastAsia="Calibri" w:hAnsi="Verdana" w:cs="Times New Roman"/>
          <w:bCs/>
          <w:iCs/>
          <w:kern w:val="0"/>
          <w:sz w:val="20"/>
          <w:szCs w:val="20"/>
          <w:lang w:eastAsia="tr-TR"/>
        </w:rPr>
        <w:t xml:space="preserve"> </w:t>
      </w:r>
    </w:p>
    <w:p w:rsidR="007F085E" w:rsidRPr="00FC01E5" w:rsidRDefault="007F085E" w:rsidP="007F085E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7F085E" w:rsidRDefault="00B25DB5" w:rsidP="007F085E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uc</w:t>
      </w:r>
      <w:r w:rsidR="007F085E" w:rsidRPr="00FC01E5">
        <w:rPr>
          <w:rFonts w:ascii="Verdana" w:hAnsi="Verdana"/>
          <w:b/>
          <w:sz w:val="20"/>
          <w:szCs w:val="20"/>
          <w:u w:val="single"/>
        </w:rPr>
        <w:t>uracak.com hakkında:</w:t>
      </w:r>
    </w:p>
    <w:p w:rsidR="007F085E" w:rsidRDefault="007F085E" w:rsidP="007F085E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7F085E" w:rsidRPr="00CC6358" w:rsidRDefault="007F085E" w:rsidP="007F085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CC6358">
        <w:rPr>
          <w:rFonts w:ascii="Verdana" w:hAnsi="Verdana"/>
          <w:sz w:val="20"/>
          <w:szCs w:val="20"/>
        </w:rPr>
        <w:t>Prae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CC6358">
        <w:rPr>
          <w:rFonts w:ascii="Verdana" w:hAnsi="Verdana"/>
          <w:sz w:val="20"/>
          <w:szCs w:val="20"/>
        </w:rPr>
        <w:t xml:space="preserve">Legal uluslararası danışmanlık firmasının kuruluşu olan </w:t>
      </w:r>
      <w:proofErr w:type="spellStart"/>
      <w:r w:rsidRPr="00CC6358">
        <w:rPr>
          <w:rFonts w:ascii="Verdana" w:hAnsi="Verdana"/>
          <w:sz w:val="20"/>
          <w:szCs w:val="20"/>
        </w:rPr>
        <w:t>Prae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CC6358">
        <w:rPr>
          <w:rFonts w:ascii="Verdana" w:hAnsi="Verdana"/>
          <w:sz w:val="20"/>
          <w:szCs w:val="20"/>
        </w:rPr>
        <w:t>Tourism</w:t>
      </w:r>
      <w:r>
        <w:rPr>
          <w:rFonts w:ascii="Verdana" w:hAnsi="Verdana"/>
          <w:sz w:val="20"/>
          <w:szCs w:val="20"/>
        </w:rPr>
        <w:t>’in</w:t>
      </w:r>
      <w:proofErr w:type="spellEnd"/>
      <w:r w:rsidRPr="00CC6358">
        <w:rPr>
          <w:rFonts w:ascii="Verdana" w:hAnsi="Verdana"/>
          <w:sz w:val="20"/>
          <w:szCs w:val="20"/>
        </w:rPr>
        <w:t xml:space="preserve"> markası </w:t>
      </w:r>
      <w:r>
        <w:rPr>
          <w:rFonts w:ascii="Verdana" w:hAnsi="Verdana"/>
          <w:sz w:val="20"/>
          <w:szCs w:val="20"/>
        </w:rPr>
        <w:t xml:space="preserve">olan </w:t>
      </w:r>
      <w:r w:rsidR="00B25DB5">
        <w:rPr>
          <w:rFonts w:ascii="Verdana" w:hAnsi="Verdana"/>
          <w:sz w:val="20"/>
          <w:szCs w:val="20"/>
        </w:rPr>
        <w:t>u</w:t>
      </w:r>
      <w:r w:rsidRPr="00CC6358">
        <w:rPr>
          <w:rFonts w:ascii="Verdana" w:hAnsi="Verdana"/>
          <w:sz w:val="20"/>
          <w:szCs w:val="20"/>
        </w:rPr>
        <w:t>curacak.com</w:t>
      </w:r>
      <w:r>
        <w:rPr>
          <w:rFonts w:ascii="Verdana" w:hAnsi="Verdana"/>
          <w:sz w:val="20"/>
          <w:szCs w:val="20"/>
        </w:rPr>
        <w:t>,</w:t>
      </w:r>
      <w:r w:rsidRPr="00CC635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tüketicilere</w:t>
      </w:r>
      <w:r w:rsidRPr="00CC6358">
        <w:rPr>
          <w:rFonts w:ascii="Verdana" w:hAnsi="Verdana"/>
          <w:sz w:val="20"/>
          <w:szCs w:val="20"/>
        </w:rPr>
        <w:t xml:space="preserve"> yurt içi ve yurt dışı uçuşlarda en uygun</w:t>
      </w:r>
      <w:r>
        <w:rPr>
          <w:rFonts w:ascii="Verdana" w:hAnsi="Verdana"/>
          <w:sz w:val="20"/>
          <w:szCs w:val="20"/>
        </w:rPr>
        <w:t xml:space="preserve"> uçak b</w:t>
      </w:r>
      <w:r w:rsidR="00B25DB5">
        <w:rPr>
          <w:rFonts w:ascii="Verdana" w:hAnsi="Verdana"/>
          <w:sz w:val="20"/>
          <w:szCs w:val="20"/>
        </w:rPr>
        <w:t>ileti fiyatlarını sunmaktadır. u</w:t>
      </w:r>
      <w:r>
        <w:rPr>
          <w:rFonts w:ascii="Verdana" w:hAnsi="Verdana"/>
          <w:sz w:val="20"/>
          <w:szCs w:val="20"/>
        </w:rPr>
        <w:t xml:space="preserve">curacak.com, kullanıcılarına tek bir sayfada </w:t>
      </w:r>
      <w:proofErr w:type="spellStart"/>
      <w:r>
        <w:rPr>
          <w:rFonts w:ascii="Verdana" w:hAnsi="Verdana"/>
          <w:sz w:val="20"/>
          <w:szCs w:val="20"/>
        </w:rPr>
        <w:t>250’</w:t>
      </w:r>
      <w:r w:rsidRPr="00CC6358">
        <w:rPr>
          <w:rFonts w:ascii="Verdana" w:hAnsi="Verdana"/>
          <w:sz w:val="20"/>
          <w:szCs w:val="20"/>
        </w:rPr>
        <w:t>den</w:t>
      </w:r>
      <w:proofErr w:type="spellEnd"/>
      <w:r w:rsidRPr="00CC6358">
        <w:rPr>
          <w:rFonts w:ascii="Verdana" w:hAnsi="Verdana"/>
          <w:sz w:val="20"/>
          <w:szCs w:val="20"/>
        </w:rPr>
        <w:t xml:space="preserve"> fazla hava</w:t>
      </w:r>
      <w:r w:rsidR="00547E46">
        <w:rPr>
          <w:rFonts w:ascii="Verdana" w:hAnsi="Verdana"/>
          <w:sz w:val="20"/>
          <w:szCs w:val="20"/>
        </w:rPr>
        <w:t xml:space="preserve"> </w:t>
      </w:r>
      <w:r w:rsidRPr="00CC6358">
        <w:rPr>
          <w:rFonts w:ascii="Verdana" w:hAnsi="Verdana"/>
          <w:sz w:val="20"/>
          <w:szCs w:val="20"/>
        </w:rPr>
        <w:t>yolu firmasının sonuçlarını</w:t>
      </w:r>
      <w:r>
        <w:rPr>
          <w:rFonts w:ascii="Verdana" w:hAnsi="Verdana"/>
          <w:sz w:val="20"/>
          <w:szCs w:val="20"/>
        </w:rPr>
        <w:t xml:space="preserve"> görüntüleme olanağı vererek</w:t>
      </w:r>
      <w:r w:rsidRPr="00CC635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istenilen uçuşu inceleme</w:t>
      </w:r>
      <w:r w:rsidRPr="00CC6358">
        <w:rPr>
          <w:rFonts w:ascii="Verdana" w:hAnsi="Verdana"/>
          <w:sz w:val="20"/>
          <w:szCs w:val="20"/>
        </w:rPr>
        <w:t>, farklı hava yollarına ait se</w:t>
      </w:r>
      <w:r>
        <w:rPr>
          <w:rFonts w:ascii="Verdana" w:hAnsi="Verdana"/>
          <w:sz w:val="20"/>
          <w:szCs w:val="20"/>
        </w:rPr>
        <w:t xml:space="preserve">ferleri karşılaştırma imkânı vermektedir. </w:t>
      </w:r>
      <w:r w:rsidRPr="00CC6358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URSAB</w:t>
      </w:r>
      <w:r w:rsidRPr="00CC6358">
        <w:rPr>
          <w:rFonts w:ascii="Verdana" w:hAnsi="Verdana"/>
          <w:sz w:val="20"/>
          <w:szCs w:val="20"/>
        </w:rPr>
        <w:t xml:space="preserve"> A Grubu acentesi olan </w:t>
      </w:r>
      <w:proofErr w:type="spellStart"/>
      <w:r w:rsidRPr="00CC6358">
        <w:rPr>
          <w:rFonts w:ascii="Verdana" w:hAnsi="Verdana"/>
          <w:sz w:val="20"/>
          <w:szCs w:val="20"/>
        </w:rPr>
        <w:t>Prae</w:t>
      </w:r>
      <w:proofErr w:type="spellEnd"/>
      <w:r w:rsidRPr="00CC6358">
        <w:rPr>
          <w:rFonts w:ascii="Verdana" w:hAnsi="Verdana"/>
          <w:sz w:val="20"/>
          <w:szCs w:val="20"/>
        </w:rPr>
        <w:t xml:space="preserve"> </w:t>
      </w:r>
      <w:proofErr w:type="spellStart"/>
      <w:r w:rsidRPr="00CC6358">
        <w:rPr>
          <w:rFonts w:ascii="Verdana" w:hAnsi="Verdana"/>
          <w:sz w:val="20"/>
          <w:szCs w:val="20"/>
        </w:rPr>
        <w:t>Tourism</w:t>
      </w:r>
      <w:proofErr w:type="spellEnd"/>
      <w:r w:rsidRPr="00CC6358">
        <w:rPr>
          <w:rFonts w:ascii="Verdana" w:hAnsi="Verdana"/>
          <w:sz w:val="20"/>
          <w:szCs w:val="20"/>
        </w:rPr>
        <w:t xml:space="preserve"> Seyahat </w:t>
      </w:r>
      <w:proofErr w:type="spellStart"/>
      <w:r w:rsidRPr="00CC6358">
        <w:rPr>
          <w:rFonts w:ascii="Verdana" w:hAnsi="Verdana"/>
          <w:sz w:val="20"/>
          <w:szCs w:val="20"/>
        </w:rPr>
        <w:t>Acentası’nın</w:t>
      </w:r>
      <w:proofErr w:type="spellEnd"/>
      <w:r w:rsidRPr="00CC6358">
        <w:rPr>
          <w:rFonts w:ascii="Verdana" w:hAnsi="Verdana"/>
          <w:sz w:val="20"/>
          <w:szCs w:val="20"/>
        </w:rPr>
        <w:t xml:space="preserve"> onl</w:t>
      </w:r>
      <w:r>
        <w:rPr>
          <w:rFonts w:ascii="Verdana" w:hAnsi="Verdana"/>
          <w:sz w:val="20"/>
          <w:szCs w:val="20"/>
        </w:rPr>
        <w:t xml:space="preserve">ine uçak bileti satış sitesi olan </w:t>
      </w:r>
      <w:r w:rsidRPr="00875CDD">
        <w:rPr>
          <w:rFonts w:ascii="Verdana" w:hAnsi="Verdana"/>
          <w:sz w:val="20"/>
          <w:szCs w:val="20"/>
        </w:rPr>
        <w:t>ucuracak.com</w:t>
      </w:r>
      <w:r>
        <w:rPr>
          <w:rFonts w:ascii="Verdana" w:hAnsi="Verdana"/>
          <w:sz w:val="20"/>
          <w:szCs w:val="20"/>
        </w:rPr>
        <w:t xml:space="preserve">, </w:t>
      </w:r>
      <w:r w:rsidRPr="00CC6358">
        <w:rPr>
          <w:rFonts w:ascii="Verdana" w:hAnsi="Verdana"/>
          <w:sz w:val="20"/>
          <w:szCs w:val="20"/>
        </w:rPr>
        <w:t xml:space="preserve">dinamik ve tecrübeli kadrosu ile </w:t>
      </w:r>
      <w:r>
        <w:rPr>
          <w:rFonts w:ascii="Verdana" w:hAnsi="Verdana"/>
          <w:sz w:val="20"/>
          <w:szCs w:val="20"/>
        </w:rPr>
        <w:t>tüm yolculara hızlı çözümler sağlamaktadır.</w:t>
      </w:r>
      <w:r w:rsidRPr="00CC6358">
        <w:rPr>
          <w:rFonts w:ascii="Verdana" w:hAnsi="Verdana"/>
          <w:sz w:val="20"/>
          <w:szCs w:val="20"/>
        </w:rPr>
        <w:t xml:space="preserve"> </w:t>
      </w:r>
    </w:p>
    <w:p w:rsidR="007F085E" w:rsidRPr="00FC01E5" w:rsidRDefault="007F085E" w:rsidP="007F085E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7F085E" w:rsidRDefault="007F085E" w:rsidP="007F085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F085E" w:rsidRPr="000313BD" w:rsidRDefault="007F085E" w:rsidP="007F085E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0313BD">
        <w:rPr>
          <w:rFonts w:ascii="Verdana" w:hAnsi="Verdana"/>
          <w:b/>
          <w:bCs/>
          <w:sz w:val="20"/>
          <w:szCs w:val="20"/>
        </w:rPr>
        <w:t>Bilgi ve iletişim için:</w:t>
      </w:r>
    </w:p>
    <w:p w:rsidR="007F085E" w:rsidRPr="000313BD" w:rsidRDefault="007F085E" w:rsidP="007F085E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Meltem Aydın Uysal</w:t>
      </w:r>
    </w:p>
    <w:p w:rsidR="003C05CD" w:rsidRPr="003C05CD" w:rsidRDefault="00C15358" w:rsidP="007F085E">
      <w:pPr>
        <w:spacing w:after="0"/>
        <w:jc w:val="both"/>
        <w:rPr>
          <w:rFonts w:ascii="Verdana" w:hAnsi="Verdana"/>
          <w:bCs/>
          <w:sz w:val="20"/>
          <w:szCs w:val="20"/>
        </w:rPr>
      </w:pPr>
      <w:hyperlink r:id="rId6" w:history="1">
        <w:proofErr w:type="gramStart"/>
        <w:r w:rsidR="007F085E" w:rsidRPr="003C05CD">
          <w:rPr>
            <w:rStyle w:val="Kpr"/>
            <w:rFonts w:ascii="Verdana" w:hAnsi="Verdana"/>
            <w:bCs/>
            <w:color w:val="auto"/>
            <w:sz w:val="20"/>
            <w:szCs w:val="20"/>
            <w:u w:val="none"/>
          </w:rPr>
          <w:t>meltem</w:t>
        </w:r>
        <w:proofErr w:type="gramEnd"/>
        <w:r w:rsidR="007F085E" w:rsidRPr="003C05CD">
          <w:rPr>
            <w:rStyle w:val="Kpr"/>
            <w:rFonts w:ascii="Verdana" w:hAnsi="Verdana"/>
            <w:bCs/>
            <w:color w:val="auto"/>
            <w:sz w:val="20"/>
            <w:szCs w:val="20"/>
            <w:u w:val="none"/>
          </w:rPr>
          <w:t>@refleksiletisim.com</w:t>
        </w:r>
      </w:hyperlink>
    </w:p>
    <w:p w:rsidR="00D81469" w:rsidRPr="00C979C2" w:rsidRDefault="007F085E" w:rsidP="00C979C2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Tel: </w:t>
      </w:r>
      <w:r w:rsidRPr="000313BD">
        <w:rPr>
          <w:rFonts w:ascii="Verdana" w:hAnsi="Verdana"/>
          <w:sz w:val="20"/>
          <w:szCs w:val="20"/>
        </w:rPr>
        <w:t>(0212) 274 76 01</w:t>
      </w:r>
    </w:p>
    <w:sectPr w:rsidR="00D81469" w:rsidRPr="00C9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Kullanıcısı">
    <w15:presenceInfo w15:providerId="None" w15:userId="Microsoft Office Kullanıcıs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5E"/>
    <w:rsid w:val="00071430"/>
    <w:rsid w:val="000F2700"/>
    <w:rsid w:val="00133CA8"/>
    <w:rsid w:val="00151061"/>
    <w:rsid w:val="00217ADF"/>
    <w:rsid w:val="00274664"/>
    <w:rsid w:val="002E2D30"/>
    <w:rsid w:val="003453DD"/>
    <w:rsid w:val="00387518"/>
    <w:rsid w:val="00393CC0"/>
    <w:rsid w:val="003C05CD"/>
    <w:rsid w:val="004B3943"/>
    <w:rsid w:val="00547E46"/>
    <w:rsid w:val="0057700A"/>
    <w:rsid w:val="00585FE7"/>
    <w:rsid w:val="005C0A93"/>
    <w:rsid w:val="005C156F"/>
    <w:rsid w:val="005D1F89"/>
    <w:rsid w:val="006325EC"/>
    <w:rsid w:val="006A6FC5"/>
    <w:rsid w:val="006F2484"/>
    <w:rsid w:val="00766592"/>
    <w:rsid w:val="0077084D"/>
    <w:rsid w:val="00776077"/>
    <w:rsid w:val="00777364"/>
    <w:rsid w:val="00780329"/>
    <w:rsid w:val="007F085E"/>
    <w:rsid w:val="00887882"/>
    <w:rsid w:val="008B4ED2"/>
    <w:rsid w:val="008D221D"/>
    <w:rsid w:val="008E7303"/>
    <w:rsid w:val="00964E87"/>
    <w:rsid w:val="009961C5"/>
    <w:rsid w:val="009E20F2"/>
    <w:rsid w:val="009F3D37"/>
    <w:rsid w:val="00A62C04"/>
    <w:rsid w:val="00A64761"/>
    <w:rsid w:val="00A91115"/>
    <w:rsid w:val="00AD0856"/>
    <w:rsid w:val="00AD74BA"/>
    <w:rsid w:val="00AF0B3A"/>
    <w:rsid w:val="00AF14DE"/>
    <w:rsid w:val="00B14395"/>
    <w:rsid w:val="00B25DB5"/>
    <w:rsid w:val="00B41B03"/>
    <w:rsid w:val="00BD04CF"/>
    <w:rsid w:val="00BE78B3"/>
    <w:rsid w:val="00C15358"/>
    <w:rsid w:val="00C54D96"/>
    <w:rsid w:val="00C67531"/>
    <w:rsid w:val="00C979C2"/>
    <w:rsid w:val="00D745C4"/>
    <w:rsid w:val="00D81469"/>
    <w:rsid w:val="00DC69E1"/>
    <w:rsid w:val="00DC6BE7"/>
    <w:rsid w:val="00E60A58"/>
    <w:rsid w:val="00E870C9"/>
    <w:rsid w:val="00EE2E8A"/>
    <w:rsid w:val="00FB142C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5E"/>
    <w:pPr>
      <w:suppressAutoHyphens/>
      <w:spacing w:after="200" w:line="276" w:lineRule="auto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F085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E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ED2"/>
    <w:rPr>
      <w:rFonts w:ascii="Times New Roman" w:eastAsia="Arial Unicode MS" w:hAnsi="Times New Roman" w:cs="Times New Roman"/>
      <w:kern w:val="2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5E"/>
    <w:pPr>
      <w:suppressAutoHyphens/>
      <w:spacing w:after="200" w:line="276" w:lineRule="auto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F085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E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ED2"/>
    <w:rPr>
      <w:rFonts w:ascii="Times New Roman" w:eastAsia="Arial Unicode MS" w:hAnsi="Times New Roman" w:cs="Times New Roman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ltem@refleksiletisi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İrfan </cp:lastModifiedBy>
  <cp:revision>21</cp:revision>
  <dcterms:created xsi:type="dcterms:W3CDTF">2018-04-30T16:35:00Z</dcterms:created>
  <dcterms:modified xsi:type="dcterms:W3CDTF">2018-05-02T00:20:00Z</dcterms:modified>
</cp:coreProperties>
</file>